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40EBE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6F3-6D5A-42C5-BD0E-D64E03B6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